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6.jpg" ContentType="image/jpeg"/>
  <Override PartName="/word/media/rId100.jpg" ContentType="image/jpeg"/>
  <Override PartName="/word/media/rId104.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87.jpg" ContentType="image/jpeg"/>
  <Override PartName="/word/media/rId91.jpg" ContentType="image/jpeg"/>
  <Override PartName="/word/media/rId23.jpg" ContentType="image/jpeg"/>
  <Override PartName="/word/media/rId32.jpg" ContentType="image/jpeg"/>
  <Override PartName="/word/media/rId28.jpg" ContentType="image/jpeg"/>
  <Override PartName="/word/media/rId109.jpg" ContentType="image/jpeg"/>
  <Override PartName="/word/media/rId113.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7.jpg" ContentType="image/jpeg"/>
  <Override PartName="/word/media/rId141.jpg" ContentType="image/jpeg"/>
  <Override PartName="/word/media/rId145.jpg" ContentType="image/jpeg"/>
  <Override PartName="/word/media/rId149.jpg" ContentType="image/jpeg"/>
  <Override PartName="/word/media/rId153.jpg" ContentType="image/jpeg"/>
  <Override PartName="/word/media/rId11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to do: make sure baseline and 2018 terminology is consistent (e.g., no phase)</w:t>
      </w:r>
    </w:p>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sampling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sampling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sampling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sampling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58"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50bfda1c-1908-40a8-a6bf-15e891d46062"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0bfda1c-1908-40a8-a6bf-15e891d46062"/>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95"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unique vegetation zones observed across all sites (</w:t>
      </w:r>
      <w:r>
        <w:rPr>
          <w:bCs/>
          <w:b/>
        </w:rPr>
        <w:t xml:space="preserve">?@fig-richzone</w:t>
      </w:r>
      <w:r>
        <w:t xml:space="preserve">). A total of 28 vegetation zones were sampled across the nine sites, although inconsistent naming prevented a comparison of similar zones between sites. In general, the unique zones across all sites can be grouped as 1. Brazilian Pepper Berm and</w:t>
      </w:r>
      <w:r>
        <w:t xml:space="preserve"> </w:t>
      </w:r>
      <w:r>
        <w:rPr>
          <w:bCs/>
          <w:b/>
        </w:rPr>
        <w:t xml:space="preserve">Schinus terebinthifolius</w:t>
      </w:r>
      <w:r>
        <w:t xml:space="preserve">; 2. Transitional wetland and transitional marsh; 3. High salt barren, unvegetated salt barren, and salt barren; 4. Short mangrove, mangrove, mangrove fringe, immature mangrove fringe and 5. Open water (channel, freshwater pond, tidal creek, tidal mud flat). The following plots retain unique zone names for each site and future sampling could consider standardizing names between sites.</w:t>
      </w:r>
    </w:p>
    <w:p>
      <w:pPr>
        <w:pStyle w:val="BodyText"/>
      </w:pPr>
      <w:r>
        <w:t xml:space="preserve">The lines in Figures</w:t>
      </w:r>
      <w:r>
        <w:t xml:space="preserve"> </w:t>
      </w:r>
      <w:hyperlink w:anchor="fig-rchzoneestbb">
        <w:r>
          <w:rPr>
            <w:rStyle w:val="Hyperlink"/>
          </w:rPr>
          <w:t xml:space="preserve">8</w:t>
        </w:r>
      </w:hyperlink>
      <w:r>
        <w:t xml:space="preserve">,</w:t>
      </w:r>
      <w:r>
        <w:t xml:space="preserve"> </w:t>
      </w:r>
      <w:hyperlink w:anchor="fig-rchzoneestcb">
        <w:r>
          <w:rPr>
            <w:rStyle w:val="Hyperlink"/>
          </w:rPr>
          <w:t xml:space="preserve">9</w:t>
        </w:r>
      </w:hyperlink>
      <w:r>
        <w:t xml:space="preserve">,</w:t>
      </w:r>
      <w:r>
        <w:t xml:space="preserve"> </w:t>
      </w:r>
      <w:hyperlink w:anchor="fig-rchzoneestfd">
        <w:r>
          <w:rPr>
            <w:rStyle w:val="Hyperlink"/>
          </w:rPr>
          <w:t xml:space="preserve">10</w:t>
        </w:r>
      </w:hyperlink>
      <w:r>
        <w:t xml:space="preserve">,</w:t>
      </w:r>
      <w:r>
        <w:t xml:space="preserve"> </w:t>
      </w:r>
      <w:hyperlink w:anchor="fig-rchzoneesthp">
        <w:r>
          <w:rPr>
            <w:rStyle w:val="Hyperlink"/>
          </w:rPr>
          <w:t xml:space="preserve">11</w:t>
        </w:r>
      </w:hyperlink>
      <w:r>
        <w:t xml:space="preserve">,</w:t>
      </w:r>
      <w:r>
        <w:t xml:space="preserve"> </w:t>
      </w:r>
      <w:hyperlink w:anchor="fig-rchzoneesthh">
        <w:r>
          <w:rPr>
            <w:rStyle w:val="Hyperlink"/>
          </w:rPr>
          <w:t xml:space="preserve">12</w:t>
        </w:r>
      </w:hyperlink>
      <w:r>
        <w:t xml:space="preserve">,</w:t>
      </w:r>
      <w:r>
        <w:t xml:space="preserve"> </w:t>
      </w:r>
      <w:hyperlink w:anchor="fig-rchzoneestlmr">
        <w:r>
          <w:rPr>
            <w:rStyle w:val="Hyperlink"/>
          </w:rPr>
          <w:t xml:space="preserve">13</w:t>
        </w:r>
      </w:hyperlink>
      <w:r>
        <w:t xml:space="preserve">,</w:t>
      </w:r>
      <w:r>
        <w:t xml:space="preserve"> </w:t>
      </w:r>
      <w:hyperlink w:anchor="fig-rchzoneestm">
        <w:r>
          <w:rPr>
            <w:rStyle w:val="Hyperlink"/>
          </w:rPr>
          <w:t xml:space="preserve">14</w:t>
        </w:r>
      </w:hyperlink>
      <w:r>
        <w:t xml:space="preserve">,</w:t>
      </w:r>
      <w:r>
        <w:t xml:space="preserve"> </w:t>
      </w:r>
      <w:hyperlink w:anchor="fig-rchzoneestutbp">
        <w:r>
          <w:rPr>
            <w:rStyle w:val="Hyperlink"/>
          </w:rPr>
          <w:t xml:space="preserve">15</w:t>
        </w:r>
      </w:hyperlink>
      <w:r>
        <w:t xml:space="preserve">, and</w:t>
      </w:r>
      <w:r>
        <w:t xml:space="preserve"> </w:t>
      </w:r>
      <w:hyperlink w:anchor="fig-rchzoneestwi">
        <w:r>
          <w:rPr>
            <w:rStyle w:val="Hyperlink"/>
          </w:rPr>
          <w:t xml:space="preserve">16</w:t>
        </w:r>
      </w:hyperlink>
      <w:r>
        <w:t xml:space="preserve"> </w:t>
      </w:r>
      <w:r>
        <w:t xml:space="preserve">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-Teco (23 species,</w:t>
      </w:r>
      <w:r>
        <w:t xml:space="preserve"> </w:t>
      </w:r>
      <w:hyperlink w:anchor="fig-rchzoneestbb">
        <w:r>
          <w:rPr>
            <w:rStyle w:val="Hyperlink"/>
          </w:rPr>
          <w:t xml:space="preserve">Figure 8</w:t>
        </w:r>
      </w:hyperlink>
      <w:r>
        <w:t xml:space="preserve">) and transitional marsh at Cockroach Bay (21 species,</w:t>
      </w:r>
      <w:r>
        <w:t xml:space="preserve"> </w:t>
      </w:r>
      <w:r>
        <w:rPr>
          <w:bCs/>
          <w:b/>
        </w:rPr>
        <w:t xml:space="preserve">?@fig-rchzonestcb</w:t>
      </w:r>
      <w:r>
        <w:t xml:space="preserve">).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Big Bend Teco</w:t>
      </w:r>
      <w:r>
        <w:t xml:space="preserve"> </w:t>
      </w:r>
      <w:hyperlink w:anchor="fig-rchzoneestbb">
        <w:r>
          <w:rPr>
            <w:rStyle w:val="Hyperlink"/>
          </w:rPr>
          <w:t xml:space="preserve">Figure 8</w:t>
        </w:r>
      </w:hyperlink>
      <w:r>
        <w:t xml:space="preserve">, lowest at Cockroach Bay,</w:t>
      </w:r>
      <w:r>
        <w:t xml:space="preserve"> </w:t>
      </w:r>
      <w:r>
        <w:rPr>
          <w:bCs/>
          <w:b/>
        </w:rPr>
        <w:t xml:space="preserve">?@fig-rchzoneescb</w:t>
      </w:r>
      <w:r>
        <w:t xml:space="preserve">).</w:t>
      </w:r>
    </w:p>
    <w:tbl>
      <w:tblPr>
        <w:tblStyle w:val="Table"/>
        <w:tblW w:type="pct" w:w="5000"/>
        <w:tblLook w:firstRow="0" w:lastRow="0" w:firstColumn="0" w:lastColumn="0" w:noHBand="0" w:noVBand="0" w:val="0000"/>
      </w:tblPr>
      <w:tblGrid>
        <w:gridCol w:w="7920"/>
      </w:tblGrid>
      <w:tr>
        <w:tc>
          <w:tcPr/>
          <w:bookmarkStart w:id="58" w:name="fig-rchzoneestbb"/>
          <w:p>
            <w:pPr>
              <w:pStyle w:val="Figure"/>
              <w:jc w:val="center"/>
            </w:pPr>
            <w:r>
              <w:drawing>
                <wp:inline>
                  <wp:extent cx="5943600" cy="2971800"/>
                  <wp:effectExtent b="0" l="0" r="0" t="0"/>
                  <wp:docPr descr="" title="" id="56" name="Picture"/>
                  <a:graphic>
                    <a:graphicData uri="http://schemas.openxmlformats.org/drawingml/2006/picture">
                      <pic:pic>
                        <pic:nvPicPr>
                          <pic:cNvPr descr="../figs/richzone_Big%20Bend%20-%20TECO.jp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zone at Big Bend - Teco. The left plot shows total species richness and the right plot shows relative percent reductions in species richness. Lines are colored by zones.</w:t>
            </w:r>
          </w:p>
          <w:bookmarkEnd w:id="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 w:name="fig-rchzoneestcb"/>
          <w:p>
            <w:pPr>
              <w:pStyle w:val="Figure"/>
              <w:jc w:val="center"/>
            </w:pPr>
            <w:r>
              <w:drawing>
                <wp:inline>
                  <wp:extent cx="5943600" cy="2971800"/>
                  <wp:effectExtent b="0" l="0" r="0" t="0"/>
                  <wp:docPr descr="" title="" id="60" name="Picture"/>
                  <a:graphic>
                    <a:graphicData uri="http://schemas.openxmlformats.org/drawingml/2006/picture">
                      <pic:pic>
                        <pic:nvPicPr>
                          <pic:cNvPr descr="../figs/richzone_Cockroach%20Bay.jp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Species richness estimates by sampling distance for each zone at Cockroach Bay. The left plot shows total species richness and the right plot shows relative percent reductions in species richness. Lines are colored by zones.</w:t>
            </w:r>
          </w:p>
          <w:bookmarkEnd w:id="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chzoneestfd"/>
          <w:p>
            <w:pPr>
              <w:pStyle w:val="Figure"/>
              <w:jc w:val="center"/>
            </w:pPr>
            <w:r>
              <w:drawing>
                <wp:inline>
                  <wp:extent cx="5943600" cy="2971800"/>
                  <wp:effectExtent b="0" l="0" r="0" t="0"/>
                  <wp:docPr descr="" title="" id="64" name="Picture"/>
                  <a:graphic>
                    <a:graphicData uri="http://schemas.openxmlformats.org/drawingml/2006/picture">
                      <pic:pic>
                        <pic:nvPicPr>
                          <pic:cNvPr descr="../figs/richzone_Fort%20DeSoto.jpg" id="65"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Species richness estimates by sampling distance for each zone at Fort DeSoto. The left plot shows total species richness and the right plot shows relative percent reductions in species richness. Lines are colored by zones.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chzoneesthp"/>
          <w:p>
            <w:pPr>
              <w:pStyle w:val="Figure"/>
              <w:jc w:val="center"/>
            </w:pPr>
            <w:r>
              <w:drawing>
                <wp:inline>
                  <wp:extent cx="5943600" cy="2971800"/>
                  <wp:effectExtent b="0" l="0" r="0" t="0"/>
                  <wp:docPr descr="" title="" id="68" name="Picture"/>
                  <a:graphic>
                    <a:graphicData uri="http://schemas.openxmlformats.org/drawingml/2006/picture">
                      <pic:pic>
                        <pic:nvPicPr>
                          <pic:cNvPr descr="../figs/richzone_Harbor%20Palms.jpg" id="69"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Species richness estimates by sampling distance for each zone at Hidden Harbor. The left plot shows total species richness and the right plot shows relative percent reductions in species richness. Lines are colored by zones.</w:t>
            </w:r>
          </w:p>
          <w:bookmarkEnd w:id="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chzoneesthh"/>
          <w:p>
            <w:pPr>
              <w:pStyle w:val="Figure"/>
              <w:jc w:val="center"/>
            </w:pPr>
            <w:r>
              <w:drawing>
                <wp:inline>
                  <wp:extent cx="5943600" cy="2971800"/>
                  <wp:effectExtent b="0" l="0" r="0" t="0"/>
                  <wp:docPr descr="" title="" id="72" name="Picture"/>
                  <a:graphic>
                    <a:graphicData uri="http://schemas.openxmlformats.org/drawingml/2006/picture">
                      <pic:pic>
                        <pic:nvPicPr>
                          <pic:cNvPr descr="../figs/richzone_Hidden%20Harbor.jp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Species richness estimates by sampling distance for each zone at Hidden Harbor. The left plot shows total species richness and the right plot shows relative percent reductions in species richness. Lines are colored by zones.</w:t>
            </w:r>
          </w:p>
          <w:bookmarkEnd w:id="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 w:name="fig-rchzoneestlmr"/>
          <w:p>
            <w:pPr>
              <w:pStyle w:val="Figure"/>
              <w:jc w:val="center"/>
            </w:pPr>
            <w:r>
              <w:drawing>
                <wp:inline>
                  <wp:extent cx="5943600" cy="2971800"/>
                  <wp:effectExtent b="0" l="0" r="0" t="0"/>
                  <wp:docPr descr="" title="" id="76" name="Picture"/>
                  <a:graphic>
                    <a:graphicData uri="http://schemas.openxmlformats.org/drawingml/2006/picture">
                      <pic:pic>
                        <pic:nvPicPr>
                          <pic:cNvPr descr="../figs/richzone_Little%20Manatee%20River.jp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Species richness estimates by sampling distance for each zone at Little Manatee River. The left plot shows total species richness and the right plot shows relative percent reductions in species richness. Lines are colored by zones.</w:t>
            </w:r>
          </w:p>
          <w:bookmarkEnd w:id="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 w:name="fig-rchzoneestm"/>
          <w:p>
            <w:pPr>
              <w:pStyle w:val="Figure"/>
              <w:jc w:val="center"/>
            </w:pPr>
            <w:r>
              <w:drawing>
                <wp:inline>
                  <wp:extent cx="5943600" cy="2971800"/>
                  <wp:effectExtent b="0" l="0" r="0" t="0"/>
                  <wp:docPr descr="" title="" id="80" name="Picture"/>
                  <a:graphic>
                    <a:graphicData uri="http://schemas.openxmlformats.org/drawingml/2006/picture">
                      <pic:pic>
                        <pic:nvPicPr>
                          <pic:cNvPr descr="../figs/richzone_Mosaic.jp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Species richness estimates by sampling distance for each zone at Mosaic. The left plot shows total species richness and the right plot shows relative percent reductions in species richness. Lines are colored by zones.</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rchzoneestutbp"/>
          <w:p>
            <w:pPr>
              <w:pStyle w:val="Figure"/>
              <w:jc w:val="center"/>
            </w:pPr>
            <w:r>
              <w:drawing>
                <wp:inline>
                  <wp:extent cx="5943600" cy="2971800"/>
                  <wp:effectExtent b="0" l="0" r="0" t="0"/>
                  <wp:docPr descr="" title="" id="84" name="Picture"/>
                  <a:graphic>
                    <a:graphicData uri="http://schemas.openxmlformats.org/drawingml/2006/picture">
                      <pic:pic>
                        <pic:nvPicPr>
                          <pic:cNvPr descr="../figs/richzone_Upper%20Tampa%20Bay%20Park.jp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Species richness estimates by sampling distance for each zone at Upper Tampa Bay Park. The left plot shows total species richness and the right plot shows relative percent reductions in species richness. Lines are colored by zones.</w:t>
            </w:r>
          </w:p>
          <w:bookmarkEnd w:id="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 w:name="fig-rchzoneestwi"/>
          <w:p>
            <w:pPr>
              <w:pStyle w:val="Figure"/>
              <w:jc w:val="center"/>
            </w:pPr>
            <w:r>
              <w:drawing>
                <wp:inline>
                  <wp:extent cx="5943600" cy="2971800"/>
                  <wp:effectExtent b="0" l="0" r="0" t="0"/>
                  <wp:docPr descr="" title="" id="88" name="Picture"/>
                  <a:graphic>
                    <a:graphicData uri="http://schemas.openxmlformats.org/drawingml/2006/picture">
                      <pic:pic>
                        <pic:nvPicPr>
                          <pic:cNvPr descr="../figs/richzone_Weedon%20Island.jp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Species richness estimates by sampling distance for each zone at Weedon Island. The left plot shows total species richness and the right plot shows relative percent reductions in species richness. Lines are colored by zones.</w:t>
            </w:r>
          </w:p>
          <w:bookmarkEnd w:id="90"/>
        </w:tc>
      </w:tr>
    </w:tbl>
    <w:p>
      <w:pPr>
        <w:pStyle w:val="BodyText"/>
      </w:pPr>
      <w:hyperlink w:anchor="fig-richzoneloss">
        <w:r>
          <w:rPr>
            <w:rStyle w:val="Hyperlink"/>
          </w:rPr>
          <w:t xml:space="preserve">Figure 17</w:t>
        </w:r>
      </w:hyperlink>
      <w:r>
        <w:t xml:space="preserve"> </w:t>
      </w:r>
      <w:r>
        <w:t xml:space="preserve">shows the relationship between percent loss in species richness with actual species richness in the unique zones for each site. There is strong evidence that greater reductions in species richness estimates are expected for zones with higher actual species irchness (linear fit was significant,</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94" w:name="fig-richzoneloss"/>
          <w:p>
            <w:pPr>
              <w:pStyle w:val="Figure"/>
              <w:jc w:val="center"/>
            </w:pPr>
            <w:r>
              <w:drawing>
                <wp:inline>
                  <wp:extent cx="5943600" cy="5519057"/>
                  <wp:effectExtent b="0" l="0" r="0" t="0"/>
                  <wp:docPr descr="" title="" id="92" name="Picture"/>
                  <a:graphic>
                    <a:graphicData uri="http://schemas.openxmlformats.org/drawingml/2006/picture">
                      <pic:pic>
                        <pic:nvPicPr>
                          <pic:cNvPr descr="../figs/richzoneloss.jpg" id="93" name="Picture"/>
                          <pic:cNvPicPr>
                            <a:picLocks noChangeArrowheads="1" noChangeAspect="1"/>
                          </pic:cNvPicPr>
                        </pic:nvPicPr>
                        <pic:blipFill>
                          <a:blip r:embed="rId91"/>
                          <a:stretch>
                            <a:fillRect/>
                          </a:stretch>
                        </pic:blipFill>
                        <pic:spPr bwMode="auto">
                          <a:xfrm>
                            <a:off x="0" y="0"/>
                            <a:ext cx="5943600" cy="5519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Total percent loss of richness from half-meter to 10 meter sampling as a function of average species richness within a zone. Points are colored by site and each point represents a unique zone at a site.</w:t>
            </w:r>
          </w:p>
          <w:bookmarkEnd w:id="94"/>
        </w:tc>
      </w:tr>
    </w:tbl>
    <w:bookmarkEnd w:id="95"/>
    <w:bookmarkStart w:id="108"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18</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99" w:name="fig-elevex"/>
          <w:p>
            <w:pPr>
              <w:pStyle w:val="Figure"/>
              <w:jc w:val="center"/>
            </w:pPr>
            <w:r>
              <w:drawing>
                <wp:inline>
                  <wp:extent cx="5943600" cy="4953000"/>
                  <wp:effectExtent b="0" l="0" r="0" t="0"/>
                  <wp:docPr descr="" title="" id="97" name="Picture"/>
                  <a:graphic>
                    <a:graphicData uri="http://schemas.openxmlformats.org/drawingml/2006/picture">
                      <pic:pic>
                        <pic:nvPicPr>
                          <pic:cNvPr descr="../figs/elevex.jp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Elevation estimates of three mangrove species with sampling distance at each site. Point size shows the variance across the replicates for each level of sampling effort.</w:t>
            </w:r>
          </w:p>
          <w:bookmarkEnd w:id="99"/>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19</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20</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103" w:name="fig-foperelevex"/>
          <w:p>
            <w:pPr>
              <w:pStyle w:val="Figure"/>
              <w:jc w:val="center"/>
            </w:pPr>
            <w:r>
              <w:drawing>
                <wp:inline>
                  <wp:extent cx="5943600" cy="5486400"/>
                  <wp:effectExtent b="0" l="0" r="0" t="0"/>
                  <wp:docPr descr="" title="" id="101" name="Picture"/>
                  <a:graphic>
                    <a:graphicData uri="http://schemas.openxmlformats.org/drawingml/2006/picture">
                      <pic:pic>
                        <pic:nvPicPr>
                          <pic:cNvPr descr="../figs/foperelevex.jpg" id="102" name="Picture"/>
                          <pic:cNvPicPr>
                            <a:picLocks noChangeArrowheads="1" noChangeAspect="1"/>
                          </pic:cNvPicPr>
                        </pic:nvPicPr>
                        <pic:blipFill>
                          <a:blip r:embed="rId10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Total percent change in elevation estimates for three mangrove species from half-meter to 10 meter sampling as a function of actual frequency occurrence of each species at half-meter sampling.</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ovarelevex"/>
          <w:p>
            <w:pPr>
              <w:pStyle w:val="Figure"/>
              <w:jc w:val="center"/>
            </w:pPr>
            <w:r>
              <w:drawing>
                <wp:inline>
                  <wp:extent cx="5943600" cy="5486400"/>
                  <wp:effectExtent b="0" l="0" r="0" t="0"/>
                  <wp:docPr descr="" title="" id="105" name="Picture"/>
                  <a:graphic>
                    <a:graphicData uri="http://schemas.openxmlformats.org/drawingml/2006/picture">
                      <pic:pic>
                        <pic:nvPicPr>
                          <pic:cNvPr descr="../figs/fovarelevex.jpg" id="106" name="Picture"/>
                          <pic:cNvPicPr>
                            <a:picLocks noChangeArrowheads="1" noChangeAspect="1"/>
                          </pic:cNvPicPr>
                        </pic:nvPicPr>
                        <pic:blipFill>
                          <a:blip r:embed="rId10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Variance of the elevation esimates of three mangrove species at 10 meter sampling as a function of actual frequency occurrence of each species at half-meter sampling.</w:t>
            </w:r>
          </w:p>
          <w:bookmarkEnd w:id="107"/>
        </w:tc>
      </w:tr>
    </w:tbl>
    <w:bookmarkEnd w:id="108"/>
    <w:bookmarkStart w:id="157"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21</w:t>
        </w:r>
      </w:hyperlink>
      <w:r>
        <w:t xml:space="preserve">). Each zone could be identified at any level of sampling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112" w:name="fig-zonecnt"/>
          <w:p>
            <w:pPr>
              <w:pStyle w:val="Figure"/>
              <w:jc w:val="center"/>
            </w:pPr>
            <w:r>
              <w:drawing>
                <wp:inline>
                  <wp:extent cx="5943600" cy="5200650"/>
                  <wp:effectExtent b="0" l="0" r="0" t="0"/>
                  <wp:docPr descr="" title="" id="110" name="Picture"/>
                  <a:graphic>
                    <a:graphicData uri="http://schemas.openxmlformats.org/drawingml/2006/picture">
                      <pic:pic>
                        <pic:nvPicPr>
                          <pic:cNvPr descr="../figs/zonecnt.jpg" id="111" name="Picture"/>
                          <pic:cNvPicPr>
                            <a:picLocks noChangeArrowheads="1" noChangeAspect="1"/>
                          </pic:cNvPicPr>
                        </pic:nvPicPr>
                        <pic:blipFill>
                          <a:blip r:embed="rId10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Number of unique zones identified at each site from half-meter to 10 meter sampling. Point size shows the variance across the replicates for each level of sampling effort.</w:t>
            </w:r>
          </w:p>
          <w:bookmarkEnd w:id="112"/>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22</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23</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116" w:name="fig-zonedst"/>
          <w:p>
            <w:pPr>
              <w:pStyle w:val="Figure"/>
              <w:jc w:val="center"/>
            </w:pPr>
            <w:r>
              <w:drawing>
                <wp:inline>
                  <wp:extent cx="5943600" cy="5200650"/>
                  <wp:effectExtent b="0" l="0" r="0" t="0"/>
                  <wp:docPr descr="" title="" id="114" name="Picture"/>
                  <a:graphic>
                    <a:graphicData uri="http://schemas.openxmlformats.org/drawingml/2006/picture">
                      <pic:pic>
                        <pic:nvPicPr>
                          <pic:cNvPr descr="../figs/zonedst.jpg" id="115" name="Picture"/>
                          <pic:cNvPicPr>
                            <a:picLocks noChangeArrowheads="1" noChangeAspect="1"/>
                          </pic:cNvPicPr>
                        </pic:nvPicPr>
                        <pic:blipFill>
                          <a:blip r:embed="rId11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distance of each zone at each site from half-meter to 10 meter sampling. Each line is a unique zone. Point size shows the variance across the replicates for each level of sampling effort.</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varex"/>
          <w:p>
            <w:pPr>
              <w:pStyle w:val="Figure"/>
              <w:jc w:val="center"/>
            </w:pPr>
            <w:r>
              <w:drawing>
                <wp:inline>
                  <wp:extent cx="5943600" cy="5200650"/>
                  <wp:effectExtent b="0" l="0" r="0" t="0"/>
                  <wp:docPr descr="" title="" id="118" name="Picture"/>
                  <a:graphic>
                    <a:graphicData uri="http://schemas.openxmlformats.org/drawingml/2006/picture">
                      <pic:pic>
                        <pic:nvPicPr>
                          <pic:cNvPr descr="../figs/zonevarex.jpg" id="119" name="Picture"/>
                          <pic:cNvPicPr>
                            <a:picLocks noChangeArrowheads="1" noChangeAspect="1"/>
                          </pic:cNvPicPr>
                        </pic:nvPicPr>
                        <pic:blipFill>
                          <a:blip r:embed="rId11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An example of the variance of the zone distances across sub-sample replicates for each zone at the Big Bend - TECO site from half-meter to 10 meter sampling.</w:t>
            </w:r>
          </w:p>
          <w:bookmarkEnd w:id="120"/>
        </w:tc>
      </w:tr>
    </w:tbl>
    <w:p>
      <w:pPr>
        <w:pStyle w:val="BodyText"/>
      </w:pPr>
      <w:r>
        <w:t xml:space="preserve">Detailed results for the zone lengths at each site are shown in Figures</w:t>
      </w:r>
      <w:r>
        <w:t xml:space="preserve"> </w:t>
      </w:r>
      <w:hyperlink w:anchor="fig-zoneestbb">
        <w:r>
          <w:rPr>
            <w:rStyle w:val="Hyperlink"/>
          </w:rPr>
          <w:t xml:space="preserve">24</w:t>
        </w:r>
      </w:hyperlink>
      <w:r>
        <w:t xml:space="preserve">,</w:t>
      </w:r>
      <w:r>
        <w:t xml:space="preserve"> </w:t>
      </w:r>
      <w:hyperlink w:anchor="fig-zoneestcb">
        <w:r>
          <w:rPr>
            <w:rStyle w:val="Hyperlink"/>
          </w:rPr>
          <w:t xml:space="preserve">25</w:t>
        </w:r>
      </w:hyperlink>
      <w:r>
        <w:t xml:space="preserve">,</w:t>
      </w:r>
      <w:r>
        <w:t xml:space="preserve"> </w:t>
      </w:r>
      <w:hyperlink w:anchor="fig-zoneestfd">
        <w:r>
          <w:rPr>
            <w:rStyle w:val="Hyperlink"/>
          </w:rPr>
          <w:t xml:space="preserve">26</w:t>
        </w:r>
      </w:hyperlink>
      <w:r>
        <w:t xml:space="preserve">,</w:t>
      </w:r>
      <w:r>
        <w:t xml:space="preserve"> </w:t>
      </w:r>
      <w:hyperlink w:anchor="fig-zoneesthp">
        <w:r>
          <w:rPr>
            <w:rStyle w:val="Hyperlink"/>
          </w:rPr>
          <w:t xml:space="preserve">27</w:t>
        </w:r>
      </w:hyperlink>
      <w:r>
        <w:t xml:space="preserve">,</w:t>
      </w:r>
      <w:r>
        <w:t xml:space="preserve"> </w:t>
      </w:r>
      <w:hyperlink w:anchor="fig-zoneesthh">
        <w:r>
          <w:rPr>
            <w:rStyle w:val="Hyperlink"/>
          </w:rPr>
          <w:t xml:space="preserve">28</w:t>
        </w:r>
      </w:hyperlink>
      <w:r>
        <w:t xml:space="preserve">,</w:t>
      </w:r>
      <w:r>
        <w:t xml:space="preserve"> </w:t>
      </w:r>
      <w:hyperlink w:anchor="fig-zoneestlmr">
        <w:r>
          <w:rPr>
            <w:rStyle w:val="Hyperlink"/>
          </w:rPr>
          <w:t xml:space="preserve">29</w:t>
        </w:r>
      </w:hyperlink>
      <w:r>
        <w:t xml:space="preserve">,</w:t>
      </w:r>
      <w:r>
        <w:t xml:space="preserve"> </w:t>
      </w:r>
      <w:hyperlink w:anchor="fig-zoneestm">
        <w:r>
          <w:rPr>
            <w:rStyle w:val="Hyperlink"/>
          </w:rPr>
          <w:t xml:space="preserve">30</w:t>
        </w:r>
      </w:hyperlink>
      <w:r>
        <w:t xml:space="preserve">,</w:t>
      </w:r>
      <w:r>
        <w:t xml:space="preserve"> </w:t>
      </w:r>
      <w:hyperlink w:anchor="fig-zoneestutbp">
        <w:r>
          <w:rPr>
            <w:rStyle w:val="Hyperlink"/>
          </w:rPr>
          <w:t xml:space="preserve">31</w:t>
        </w:r>
      </w:hyperlink>
      <w:r>
        <w:t xml:space="preserve">, and</w:t>
      </w:r>
      <w:r>
        <w:t xml:space="preserve"> </w:t>
      </w:r>
      <w:hyperlink w:anchor="fig-zoneestwi">
        <w:r>
          <w:rPr>
            <w:rStyle w:val="Hyperlink"/>
          </w:rPr>
          <w:t xml:space="preserve">32</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Style w:val="Table"/>
        <w:tblW w:type="pct" w:w="5000"/>
        <w:tblLook w:firstRow="0" w:lastRow="0" w:firstColumn="0" w:lastColumn="0" w:noHBand="0" w:noVBand="0" w:val="0000"/>
      </w:tblPr>
      <w:tblGrid>
        <w:gridCol w:w="7920"/>
      </w:tblGrid>
      <w:tr>
        <w:tc>
          <w:tcPr/>
          <w:bookmarkStart w:id="124" w:name="fig-zoneestbb"/>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Big%20Bend%20-%20TECO.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Big Bend - Teco for 1 meter to 10 meter sampling.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cb"/>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Cockroach%20Bay.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Cockroach Bay for 1 meter to 10 meter sampling.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fd"/>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Fort%20DeSoto.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Fort DeSoto for 1 meter to 10 meter sampling. The colored regions indicate the zone delineations at half-meter sampling.</w:t>
            </w:r>
          </w:p>
          <w:bookmarkEnd w:id="1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6" w:name="fig-zoneesthp"/>
          <w:p>
            <w:pPr>
              <w:pStyle w:val="Figure"/>
              <w:jc w:val="center"/>
            </w:pPr>
            <w:r>
              <w:drawing>
                <wp:inline>
                  <wp:extent cx="5943600" cy="2971800"/>
                  <wp:effectExtent b="0" l="0" r="0" t="0"/>
                  <wp:docPr descr="" title="" id="134" name="Picture"/>
                  <a:graphic>
                    <a:graphicData uri="http://schemas.openxmlformats.org/drawingml/2006/picture">
                      <pic:pic>
                        <pic:nvPicPr>
                          <pic:cNvPr descr="../figs/zoneest_Harbor%20Palms.jpg" id="135"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Estimates and variance of the estimates in the zone starting locations at Harbor Palms for 1 meter to 10 meter sampling. The colored regions indicate the zone delineations at half-meter sampling.</w:t>
            </w:r>
          </w:p>
          <w:bookmarkEnd w:id="1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0" w:name="fig-zoneesthh"/>
          <w:p>
            <w:pPr>
              <w:pStyle w:val="Figure"/>
              <w:jc w:val="center"/>
            </w:pPr>
            <w:r>
              <w:drawing>
                <wp:inline>
                  <wp:extent cx="5943600" cy="2971800"/>
                  <wp:effectExtent b="0" l="0" r="0" t="0"/>
                  <wp:docPr descr="" title="" id="138" name="Picture"/>
                  <a:graphic>
                    <a:graphicData uri="http://schemas.openxmlformats.org/drawingml/2006/picture">
                      <pic:pic>
                        <pic:nvPicPr>
                          <pic:cNvPr descr="../figs/zoneest_Hidden%20Harbor.jpg" id="139"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Estimates and variance of the estimates in the zone starting locations at Hidden Harbor for 1 meter to 10 meter sampling. The colored regions indicate the zone delineations at half-meter sampling.</w:t>
            </w:r>
          </w:p>
          <w:bookmarkEnd w:id="1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4" w:name="fig-zoneestlmr"/>
          <w:p>
            <w:pPr>
              <w:pStyle w:val="Figure"/>
              <w:jc w:val="center"/>
            </w:pPr>
            <w:r>
              <w:drawing>
                <wp:inline>
                  <wp:extent cx="5943600" cy="2971800"/>
                  <wp:effectExtent b="0" l="0" r="0" t="0"/>
                  <wp:docPr descr="" title="" id="142" name="Picture"/>
                  <a:graphic>
                    <a:graphicData uri="http://schemas.openxmlformats.org/drawingml/2006/picture">
                      <pic:pic>
                        <pic:nvPicPr>
                          <pic:cNvPr descr="../figs/zoneest_Little%20Manatee%20River.jpg" id="143" name="Picture"/>
                          <pic:cNvPicPr>
                            <a:picLocks noChangeArrowheads="1" noChangeAspect="1"/>
                          </pic:cNvPicPr>
                        </pic:nvPicPr>
                        <pic:blipFill>
                          <a:blip r:embed="rId14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Estimates and variance of the estimates in the zone starting locations at LIttle Manatee River for 1 meter to 10 meter sampling. The colored regions indicate the zone delineations at half-meter sampling.</w:t>
            </w:r>
          </w:p>
          <w:bookmarkEnd w:id="1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8" w:name="fig-zoneestm"/>
          <w:p>
            <w:pPr>
              <w:pStyle w:val="Figure"/>
              <w:jc w:val="center"/>
            </w:pPr>
            <w:r>
              <w:drawing>
                <wp:inline>
                  <wp:extent cx="5943600" cy="2971800"/>
                  <wp:effectExtent b="0" l="0" r="0" t="0"/>
                  <wp:docPr descr="" title="" id="146" name="Picture"/>
                  <a:graphic>
                    <a:graphicData uri="http://schemas.openxmlformats.org/drawingml/2006/picture">
                      <pic:pic>
                        <pic:nvPicPr>
                          <pic:cNvPr descr="../figs/zoneest_Mosaic.jpg" id="147" name="Picture"/>
                          <pic:cNvPicPr>
                            <a:picLocks noChangeArrowheads="1" noChangeAspect="1"/>
                          </pic:cNvPicPr>
                        </pic:nvPicPr>
                        <pic:blipFill>
                          <a:blip r:embed="rId14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Estimates and variance of the estimates in the zone starting locations at Mosaic for 1 meter to 10 meter sampling. The colored regions indicate the zone delineations at half-meter sampling.</w:t>
            </w:r>
          </w:p>
          <w:bookmarkEnd w:id="1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2" w:name="fig-zoneestutbp"/>
          <w:p>
            <w:pPr>
              <w:pStyle w:val="Figure"/>
              <w:jc w:val="center"/>
            </w:pPr>
            <w:r>
              <w:drawing>
                <wp:inline>
                  <wp:extent cx="5943600" cy="2971800"/>
                  <wp:effectExtent b="0" l="0" r="0" t="0"/>
                  <wp:docPr descr="" title="" id="150" name="Picture"/>
                  <a:graphic>
                    <a:graphicData uri="http://schemas.openxmlformats.org/drawingml/2006/picture">
                      <pic:pic>
                        <pic:nvPicPr>
                          <pic:cNvPr descr="../figs/zoneest_Upper%20Tampa%20Bay%20Park.jpg" id="151" name="Picture"/>
                          <pic:cNvPicPr>
                            <a:picLocks noChangeArrowheads="1" noChangeAspect="1"/>
                          </pic:cNvPicPr>
                        </pic:nvPicPr>
                        <pic:blipFill>
                          <a:blip r:embed="rId14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Estimates and variance of the estimates in the zone starting locations at Upper Tampa Bay Park for 1 meter to 10 meter sampling. The colored regions indicate the zone delineations at half-meter sampling.</w:t>
            </w:r>
          </w:p>
          <w:bookmarkEnd w:id="1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6" w:name="fig-zoneestwi"/>
          <w:p>
            <w:pPr>
              <w:pStyle w:val="Figure"/>
              <w:jc w:val="center"/>
            </w:pPr>
            <w:r>
              <w:drawing>
                <wp:inline>
                  <wp:extent cx="5943600" cy="2971800"/>
                  <wp:effectExtent b="0" l="0" r="0" t="0"/>
                  <wp:docPr descr="" title="" id="154" name="Picture"/>
                  <a:graphic>
                    <a:graphicData uri="http://schemas.openxmlformats.org/drawingml/2006/picture">
                      <pic:pic>
                        <pic:nvPicPr>
                          <pic:cNvPr descr="../figs/zoneest_Weedon%20Island.jpg" id="155" name="Picture"/>
                          <pic:cNvPicPr>
                            <a:picLocks noChangeArrowheads="1" noChangeAspect="1"/>
                          </pic:cNvPicPr>
                        </pic:nvPicPr>
                        <pic:blipFill>
                          <a:blip r:embed="rId15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Estimates and variance of the estimates in the zone starting locations at Weedon Island for 1 meter to 10 meter sampling. The colored regions indicate the zone delineations at half-meter sampling.</w:t>
            </w:r>
          </w:p>
          <w:bookmarkEnd w:id="156"/>
        </w:tc>
      </w:tr>
    </w:tbl>
    <w:bookmarkEnd w:id="157"/>
    <w:bookmarkEnd w:id="158"/>
    <w:bookmarkStart w:id="159"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w:t>
      </w:r>
      <w:r>
        <w:t xml:space="preserve"> </w:t>
      </w:r>
      <w:hyperlink w:anchor="fig-foperelevex">
        <w:r>
          <w:rPr>
            <w:rStyle w:val="Hyperlink"/>
          </w:rPr>
          <w:t xml:space="preserve">19</w:t>
        </w:r>
      </w:hyperlink>
      <w:r>
        <w:t xml:space="preserve"> </w:t>
      </w:r>
      <w:r>
        <w:t xml:space="preserve">and</w:t>
      </w:r>
      <w:r>
        <w:t xml:space="preserve"> </w:t>
      </w:r>
      <w:hyperlink w:anchor="fig-fovarelevex">
        <w:r>
          <w:rPr>
            <w:rStyle w:val="Hyperlink"/>
          </w:rPr>
          <w:t xml:space="preserve">20</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sampling effort, so long as the sample interval is less than the length of the smallest zone at a site. Precision of the distance estimates for each zone decreases with reductions in sampling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59"/>
    <w:bookmarkStart w:id="200" w:name="references"/>
    <w:p>
      <w:pPr>
        <w:pStyle w:val="Heading2"/>
      </w:pPr>
      <w:r>
        <w:t xml:space="preserve">References</w:t>
      </w:r>
    </w:p>
    <w:bookmarkStart w:id="199" w:name="refs"/>
    <w:bookmarkStart w:id="161"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60">
        <w:r>
          <w:rPr>
            <w:rStyle w:val="Hyperlink"/>
          </w:rPr>
          <w:t xml:space="preserve">https://drive.google.com/file/d/1c_KTSJ4TgVX9IugnyDadr2Hc0gjAuQg2/view?usp=drivesdk</w:t>
        </w:r>
      </w:hyperlink>
      <w:r>
        <w:t xml:space="preserve">.</w:t>
      </w:r>
    </w:p>
    <w:bookmarkEnd w:id="161"/>
    <w:bookmarkStart w:id="163"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62">
        <w:r>
          <w:rPr>
            <w:rStyle w:val="Hyperlink"/>
          </w:rPr>
          <w:t xml:space="preserve">https://doi.org/10.1073/pnas.1902181116</w:t>
        </w:r>
      </w:hyperlink>
      <w:r>
        <w:t xml:space="preserve">.</w:t>
      </w:r>
    </w:p>
    <w:bookmarkEnd w:id="163"/>
    <w:bookmarkStart w:id="165"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64">
        <w:r>
          <w:rPr>
            <w:rStyle w:val="Hyperlink"/>
          </w:rPr>
          <w:t xml:space="preserve">https://doi.org/10.1016/j.ecss.2011.10.003</w:t>
        </w:r>
      </w:hyperlink>
      <w:r>
        <w:t xml:space="preserve">.</w:t>
      </w:r>
    </w:p>
    <w:bookmarkEnd w:id="165"/>
    <w:bookmarkStart w:id="167"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66">
        <w:r>
          <w:rPr>
            <w:rStyle w:val="Hyperlink"/>
          </w:rPr>
          <w:t xml:space="preserve">10.2307/1930167</w:t>
        </w:r>
      </w:hyperlink>
      <w:r>
        <w:t xml:space="preserve">.</w:t>
      </w:r>
    </w:p>
    <w:bookmarkEnd w:id="167"/>
    <w:bookmarkStart w:id="169"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68">
        <w:r>
          <w:rPr>
            <w:rStyle w:val="Hyperlink"/>
          </w:rPr>
          <w:t xml:space="preserve">10.1038/nclimate1970</w:t>
        </w:r>
      </w:hyperlink>
      <w:r>
        <w:t xml:space="preserve">.</w:t>
      </w:r>
    </w:p>
    <w:bookmarkEnd w:id="169"/>
    <w:bookmarkStart w:id="171"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70">
        <w:r>
          <w:rPr>
            <w:rStyle w:val="Hyperlink"/>
          </w:rPr>
          <w:t xml:space="preserve">10.1016/j.ocecoaman.2016.09.009</w:t>
        </w:r>
      </w:hyperlink>
      <w:r>
        <w:t xml:space="preserve">.</w:t>
      </w:r>
    </w:p>
    <w:bookmarkEnd w:id="171"/>
    <w:bookmarkStart w:id="173"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72">
        <w:r>
          <w:rPr>
            <w:rStyle w:val="Hyperlink"/>
          </w:rPr>
          <w:t xml:space="preserve">10.1007/s12237-020-00830-0</w:t>
        </w:r>
      </w:hyperlink>
      <w:r>
        <w:t xml:space="preserve">.</w:t>
      </w:r>
    </w:p>
    <w:bookmarkEnd w:id="173"/>
    <w:bookmarkStart w:id="175"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74">
        <w:r>
          <w:rPr>
            <w:rStyle w:val="Hyperlink"/>
          </w:rPr>
          <w:t xml:space="preserve">10.1577/1548-8446(1990)015&lt;0016:aeocco&gt;2.0.co;2</w:t>
        </w:r>
      </w:hyperlink>
      <w:r>
        <w:t xml:space="preserve">.</w:t>
      </w:r>
    </w:p>
    <w:bookmarkEnd w:id="175"/>
    <w:bookmarkStart w:id="177"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76">
        <w:r>
          <w:rPr>
            <w:rStyle w:val="Hyperlink"/>
          </w:rPr>
          <w:t xml:space="preserve">10.3354/meps196001</w:t>
        </w:r>
      </w:hyperlink>
      <w:r>
        <w:t xml:space="preserve">.</w:t>
      </w:r>
    </w:p>
    <w:bookmarkEnd w:id="177"/>
    <w:bookmarkStart w:id="179"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78">
        <w:r>
          <w:rPr>
            <w:rStyle w:val="Hyperlink"/>
          </w:rPr>
          <w:t xml:space="preserve">https://drive.google.com/file/d/1bDZ0JmuD2_1RM6VkSrsAR3g8bciQaf3F/view?usp=drivesdk</w:t>
        </w:r>
      </w:hyperlink>
      <w:r>
        <w:t xml:space="preserve">.</w:t>
      </w:r>
    </w:p>
    <w:bookmarkEnd w:id="179"/>
    <w:bookmarkStart w:id="180"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80"/>
    <w:bookmarkStart w:id="182"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81">
        <w:r>
          <w:rPr>
            <w:rStyle w:val="Hyperlink"/>
          </w:rPr>
          <w:t xml:space="preserve">10.1111/gcb.16111</w:t>
        </w:r>
      </w:hyperlink>
      <w:r>
        <w:t xml:space="preserve">.</w:t>
      </w:r>
    </w:p>
    <w:bookmarkEnd w:id="182"/>
    <w:bookmarkStart w:id="184"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83">
        <w:r>
          <w:rPr>
            <w:rStyle w:val="Hyperlink"/>
          </w:rPr>
          <w:t xml:space="preserve">https://drive.google.com/file/d/122AvajD3fxOVORHfO5HQUMdXkLNoQm48/view?usp=drivesdk</w:t>
        </w:r>
      </w:hyperlink>
      <w:r>
        <w:t xml:space="preserve">.</w:t>
      </w:r>
    </w:p>
    <w:bookmarkEnd w:id="184"/>
    <w:bookmarkStart w:id="186"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85">
        <w:r>
          <w:rPr>
            <w:rStyle w:val="Hyperlink"/>
          </w:rPr>
          <w:t xml:space="preserve">https://www.R-project.org/</w:t>
        </w:r>
      </w:hyperlink>
      <w:r>
        <w:t xml:space="preserve">.</w:t>
      </w:r>
    </w:p>
    <w:bookmarkEnd w:id="186"/>
    <w:bookmarkStart w:id="188"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87">
        <w:r>
          <w:rPr>
            <w:rStyle w:val="Hyperlink"/>
          </w:rPr>
          <w:t xml:space="preserve">https://drive.google.com/file/d/1Hp0l_qtbxp1JxKJoGatdyuANSzQrpL0I/view?usp=drivesdk</w:t>
        </w:r>
      </w:hyperlink>
      <w:r>
        <w:t xml:space="preserve">.</w:t>
      </w:r>
    </w:p>
    <w:bookmarkEnd w:id="188"/>
    <w:bookmarkStart w:id="190"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89">
        <w:r>
          <w:rPr>
            <w:rStyle w:val="Hyperlink"/>
          </w:rPr>
          <w:t xml:space="preserve">https://drive.google.com/file/d/11tu2-0y7wdAHsdvMYE8bNb68mgvcpWbK/view?usp=drivesdk</w:t>
        </w:r>
      </w:hyperlink>
      <w:r>
        <w:t xml:space="preserve">.</w:t>
      </w:r>
    </w:p>
    <w:bookmarkEnd w:id="190"/>
    <w:bookmarkStart w:id="192"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91">
        <w:r>
          <w:rPr>
            <w:rStyle w:val="Hyperlink"/>
          </w:rPr>
          <w:t xml:space="preserve">10.1007/s00267-013-0179-5</w:t>
        </w:r>
      </w:hyperlink>
      <w:r>
        <w:t xml:space="preserve">.</w:t>
      </w:r>
    </w:p>
    <w:bookmarkEnd w:id="192"/>
    <w:bookmarkStart w:id="194"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93">
        <w:r>
          <w:rPr>
            <w:rStyle w:val="Hyperlink"/>
          </w:rPr>
          <w:t xml:space="preserve">10.1016/j.ocecoaman.2013.09.007</w:t>
        </w:r>
      </w:hyperlink>
      <w:r>
        <w:t xml:space="preserve">.</w:t>
      </w:r>
    </w:p>
    <w:bookmarkEnd w:id="194"/>
    <w:bookmarkStart w:id="196"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95">
        <w:r>
          <w:rPr>
            <w:rStyle w:val="Hyperlink"/>
          </w:rPr>
          <w:t xml:space="preserve">10.1016/j.tourman.2018.03.024</w:t>
        </w:r>
      </w:hyperlink>
      <w:r>
        <w:t xml:space="preserve">.</w:t>
      </w:r>
    </w:p>
    <w:bookmarkEnd w:id="196"/>
    <w:bookmarkStart w:id="198"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97">
        <w:r>
          <w:rPr>
            <w:rStyle w:val="Hyperlink"/>
          </w:rPr>
          <w:t xml:space="preserve">10.1007/s13131-019-1352-3</w:t>
        </w:r>
      </w:hyperlink>
      <w:r>
        <w:t xml:space="preserve">.</w:t>
      </w:r>
    </w:p>
    <w:bookmarkEnd w:id="198"/>
    <w:bookmarkEnd w:id="199"/>
    <w:bookmarkEnd w:id="200"/>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17" Target="media/rId117.jpg" /><Relationship Type="http://schemas.openxmlformats.org/officeDocument/2006/relationships/hyperlink" Id="rId191" Target="https://doi.org/10.1007/s00267-013-0179-5" TargetMode="External" /><Relationship Type="http://schemas.openxmlformats.org/officeDocument/2006/relationships/hyperlink" Id="rId172" Target="https://doi.org/10.1007/s12237-020-00830-0" TargetMode="External" /><Relationship Type="http://schemas.openxmlformats.org/officeDocument/2006/relationships/hyperlink" Id="rId197" Target="https://doi.org/10.1007/s13131-019-1352-3" TargetMode="External" /><Relationship Type="http://schemas.openxmlformats.org/officeDocument/2006/relationships/hyperlink" Id="rId164" Target="https://doi.org/10.1016/j.ecss.2011.10.003" TargetMode="External" /><Relationship Type="http://schemas.openxmlformats.org/officeDocument/2006/relationships/hyperlink" Id="rId193" Target="https://doi.org/10.1016/j.ocecoaman.2013.09.007" TargetMode="External" /><Relationship Type="http://schemas.openxmlformats.org/officeDocument/2006/relationships/hyperlink" Id="rId170" Target="https://doi.org/10.1016/j.ocecoaman.2016.09.009" TargetMode="External" /><Relationship Type="http://schemas.openxmlformats.org/officeDocument/2006/relationships/hyperlink" Id="rId195" Target="https://doi.org/10.1016/j.tourman.2018.03.024" TargetMode="External" /><Relationship Type="http://schemas.openxmlformats.org/officeDocument/2006/relationships/hyperlink" Id="rId168" Target="https://doi.org/10.1038/nclimate1970" TargetMode="External" /><Relationship Type="http://schemas.openxmlformats.org/officeDocument/2006/relationships/hyperlink" Id="rId162" Target="https://doi.org/10.1073/pnas.1902181116" TargetMode="External" /><Relationship Type="http://schemas.openxmlformats.org/officeDocument/2006/relationships/hyperlink" Id="rId181" Target="https://doi.org/10.1111/gcb.16111" TargetMode="External" /><Relationship Type="http://schemas.openxmlformats.org/officeDocument/2006/relationships/hyperlink" Id="rId174" Target="https://doi.org/10.1577/1548-8446(1990)015&lt;0016:aeocco&gt;2.0.co;2" TargetMode="External" /><Relationship Type="http://schemas.openxmlformats.org/officeDocument/2006/relationships/hyperlink" Id="rId166" Target="https://doi.org/10.2307/1930167" TargetMode="External" /><Relationship Type="http://schemas.openxmlformats.org/officeDocument/2006/relationships/hyperlink" Id="rId176" Target="https://doi.org/10.3354/meps196001" TargetMode="External" /><Relationship Type="http://schemas.openxmlformats.org/officeDocument/2006/relationships/hyperlink" Id="rId189" Target="https://drive.google.com/file/d/11tu2-0y7wdAHsdvMYE8bNb68mgvcpWbK/view?usp=drivesdk" TargetMode="External" /><Relationship Type="http://schemas.openxmlformats.org/officeDocument/2006/relationships/hyperlink" Id="rId183" Target="https://drive.google.com/file/d/122AvajD3fxOVORHfO5HQUMdXkLNoQm48/view?usp=drivesdk" TargetMode="External" /><Relationship Type="http://schemas.openxmlformats.org/officeDocument/2006/relationships/hyperlink" Id="rId187" Target="https://drive.google.com/file/d/1Hp0l_qtbxp1JxKJoGatdyuANSzQrpL0I/view?usp=drivesdk" TargetMode="External" /><Relationship Type="http://schemas.openxmlformats.org/officeDocument/2006/relationships/hyperlink" Id="rId178" Target="https://drive.google.com/file/d/1bDZ0JmuD2_1RM6VkSrsAR3g8bciQaf3F/view?usp=drivesdk" TargetMode="External" /><Relationship Type="http://schemas.openxmlformats.org/officeDocument/2006/relationships/hyperlink" Id="rId160"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91" Target="https://doi.org/10.1007/s00267-013-0179-5" TargetMode="External" /><Relationship Type="http://schemas.openxmlformats.org/officeDocument/2006/relationships/hyperlink" Id="rId172" Target="https://doi.org/10.1007/s12237-020-00830-0" TargetMode="External" /><Relationship Type="http://schemas.openxmlformats.org/officeDocument/2006/relationships/hyperlink" Id="rId197" Target="https://doi.org/10.1007/s13131-019-1352-3" TargetMode="External" /><Relationship Type="http://schemas.openxmlformats.org/officeDocument/2006/relationships/hyperlink" Id="rId164" Target="https://doi.org/10.1016/j.ecss.2011.10.003" TargetMode="External" /><Relationship Type="http://schemas.openxmlformats.org/officeDocument/2006/relationships/hyperlink" Id="rId193" Target="https://doi.org/10.1016/j.ocecoaman.2013.09.007" TargetMode="External" /><Relationship Type="http://schemas.openxmlformats.org/officeDocument/2006/relationships/hyperlink" Id="rId170" Target="https://doi.org/10.1016/j.ocecoaman.2016.09.009" TargetMode="External" /><Relationship Type="http://schemas.openxmlformats.org/officeDocument/2006/relationships/hyperlink" Id="rId195" Target="https://doi.org/10.1016/j.tourman.2018.03.024" TargetMode="External" /><Relationship Type="http://schemas.openxmlformats.org/officeDocument/2006/relationships/hyperlink" Id="rId168" Target="https://doi.org/10.1038/nclimate1970" TargetMode="External" /><Relationship Type="http://schemas.openxmlformats.org/officeDocument/2006/relationships/hyperlink" Id="rId162" Target="https://doi.org/10.1073/pnas.1902181116" TargetMode="External" /><Relationship Type="http://schemas.openxmlformats.org/officeDocument/2006/relationships/hyperlink" Id="rId181" Target="https://doi.org/10.1111/gcb.16111" TargetMode="External" /><Relationship Type="http://schemas.openxmlformats.org/officeDocument/2006/relationships/hyperlink" Id="rId174" Target="https://doi.org/10.1577/1548-8446(1990)015&lt;0016:aeocco&gt;2.0.co;2" TargetMode="External" /><Relationship Type="http://schemas.openxmlformats.org/officeDocument/2006/relationships/hyperlink" Id="rId166" Target="https://doi.org/10.2307/1930167" TargetMode="External" /><Relationship Type="http://schemas.openxmlformats.org/officeDocument/2006/relationships/hyperlink" Id="rId176" Target="https://doi.org/10.3354/meps196001" TargetMode="External" /><Relationship Type="http://schemas.openxmlformats.org/officeDocument/2006/relationships/hyperlink" Id="rId189" Target="https://drive.google.com/file/d/11tu2-0y7wdAHsdvMYE8bNb68mgvcpWbK/view?usp=drivesdk" TargetMode="External" /><Relationship Type="http://schemas.openxmlformats.org/officeDocument/2006/relationships/hyperlink" Id="rId183" Target="https://drive.google.com/file/d/122AvajD3fxOVORHfO5HQUMdXkLNoQm48/view?usp=drivesdk" TargetMode="External" /><Relationship Type="http://schemas.openxmlformats.org/officeDocument/2006/relationships/hyperlink" Id="rId187" Target="https://drive.google.com/file/d/1Hp0l_qtbxp1JxKJoGatdyuANSzQrpL0I/view?usp=drivesdk" TargetMode="External" /><Relationship Type="http://schemas.openxmlformats.org/officeDocument/2006/relationships/hyperlink" Id="rId178" Target="https://drive.google.com/file/d/1bDZ0JmuD2_1RM6VkSrsAR3g8bciQaf3F/view?usp=drivesdk" TargetMode="External" /><Relationship Type="http://schemas.openxmlformats.org/officeDocument/2006/relationships/hyperlink" Id="rId160"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2022-11-23T14:58:07Z</dcterms:created>
  <dcterms:modified xsi:type="dcterms:W3CDTF">2022-11-23T14:58:07Z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